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FF" w:rsidRPr="00DC7CFF" w:rsidRDefault="00DC7CFF" w:rsidP="00DC7CFF">
      <w:pPr>
        <w:rPr>
          <w:rFonts w:asciiTheme="majorHAnsi" w:hAnsiTheme="majorHAnsi"/>
          <w:b/>
          <w:sz w:val="20"/>
          <w:szCs w:val="20"/>
        </w:rPr>
      </w:pPr>
      <w:bookmarkStart w:id="0" w:name="_GoBack"/>
      <w:bookmarkEnd w:id="0"/>
      <w:r>
        <w:rPr>
          <w:rFonts w:asciiTheme="majorHAnsi" w:hAnsiTheme="majorHAnsi"/>
          <w:spacing w:val="-2"/>
          <w:sz w:val="20"/>
          <w:szCs w:val="20"/>
        </w:rPr>
        <w:br/>
      </w:r>
      <w:r w:rsidRPr="00DC7CFF">
        <w:rPr>
          <w:rFonts w:asciiTheme="majorHAnsi" w:hAnsiTheme="majorHAnsi"/>
          <w:b/>
          <w:sz w:val="20"/>
          <w:szCs w:val="20"/>
        </w:rPr>
        <w:t>Professional Developmen</w:t>
      </w:r>
      <w:r>
        <w:rPr>
          <w:rFonts w:asciiTheme="majorHAnsi" w:hAnsiTheme="majorHAnsi"/>
          <w:b/>
          <w:sz w:val="20"/>
          <w:szCs w:val="20"/>
        </w:rPr>
        <w:t>t &amp; Support</w:t>
      </w:r>
      <w:r w:rsidR="00C7597E">
        <w:rPr>
          <w:rFonts w:asciiTheme="majorHAnsi" w:hAnsiTheme="majorHAnsi"/>
          <w:b/>
          <w:sz w:val="20"/>
          <w:szCs w:val="20"/>
        </w:rPr>
        <w:t xml:space="preserve"> Theory of Action and</w:t>
      </w:r>
      <w:r>
        <w:rPr>
          <w:rFonts w:asciiTheme="majorHAnsi" w:hAnsiTheme="majorHAnsi"/>
          <w:b/>
          <w:sz w:val="20"/>
          <w:szCs w:val="20"/>
        </w:rPr>
        <w:t xml:space="preserve"> Guiding Principles</w:t>
      </w:r>
    </w:p>
    <w:p w:rsidR="00A72E26" w:rsidRDefault="00C7597E" w:rsidP="00DC7CFF">
      <w:pPr>
        <w:pStyle w:val="BodyText"/>
        <w:kinsoku w:val="0"/>
        <w:overflowPunct w:val="0"/>
        <w:spacing w:line="276" w:lineRule="auto"/>
        <w:ind w:left="0" w:right="119"/>
        <w:rPr>
          <w:rFonts w:asciiTheme="majorHAnsi" w:hAnsiTheme="majorHAnsi"/>
          <w:sz w:val="20"/>
          <w:szCs w:val="20"/>
        </w:rPr>
      </w:pPr>
      <w:r>
        <w:rPr>
          <w:rFonts w:asciiTheme="majorHAnsi" w:hAnsiTheme="majorHAnsi"/>
          <w:spacing w:val="-2"/>
          <w:sz w:val="20"/>
          <w:szCs w:val="20"/>
        </w:rPr>
        <w:t>Shelby County Schools has committed t</w:t>
      </w:r>
      <w:r w:rsidR="00DC7CFF" w:rsidRPr="00DC7CFF">
        <w:rPr>
          <w:rFonts w:asciiTheme="majorHAnsi" w:hAnsiTheme="majorHAnsi"/>
          <w:sz w:val="20"/>
          <w:szCs w:val="20"/>
        </w:rPr>
        <w:t>o</w:t>
      </w:r>
      <w:r w:rsidR="00DC7CFF" w:rsidRPr="00DC7CFF">
        <w:rPr>
          <w:rFonts w:asciiTheme="majorHAnsi" w:hAnsiTheme="majorHAnsi"/>
          <w:spacing w:val="48"/>
          <w:sz w:val="20"/>
          <w:szCs w:val="20"/>
        </w:rPr>
        <w:t xml:space="preserve"> </w:t>
      </w:r>
      <w:r w:rsidR="00DC7CFF" w:rsidRPr="00DC7CFF">
        <w:rPr>
          <w:rFonts w:asciiTheme="majorHAnsi" w:hAnsiTheme="majorHAnsi"/>
          <w:spacing w:val="-2"/>
          <w:sz w:val="20"/>
          <w:szCs w:val="20"/>
        </w:rPr>
        <w:t>r</w:t>
      </w:r>
      <w:r w:rsidR="00DC7CFF" w:rsidRPr="00DC7CFF">
        <w:rPr>
          <w:rFonts w:asciiTheme="majorHAnsi" w:hAnsiTheme="majorHAnsi"/>
          <w:sz w:val="20"/>
          <w:szCs w:val="20"/>
        </w:rPr>
        <w:t>ea</w:t>
      </w:r>
      <w:r w:rsidR="00DC7CFF" w:rsidRPr="00DC7CFF">
        <w:rPr>
          <w:rFonts w:asciiTheme="majorHAnsi" w:hAnsiTheme="majorHAnsi"/>
          <w:spacing w:val="4"/>
          <w:sz w:val="20"/>
          <w:szCs w:val="20"/>
        </w:rPr>
        <w:t>c</w:t>
      </w:r>
      <w:r w:rsidR="00DC7CFF" w:rsidRPr="00DC7CFF">
        <w:rPr>
          <w:rFonts w:asciiTheme="majorHAnsi" w:hAnsiTheme="majorHAnsi"/>
          <w:sz w:val="20"/>
          <w:szCs w:val="20"/>
        </w:rPr>
        <w:t>h</w:t>
      </w:r>
      <w:r w:rsidR="00DC7CFF">
        <w:rPr>
          <w:rFonts w:asciiTheme="majorHAnsi" w:hAnsiTheme="majorHAnsi"/>
          <w:sz w:val="20"/>
          <w:szCs w:val="20"/>
        </w:rPr>
        <w:t xml:space="preserve"> Destination 2025 and our 80/90/100%</w:t>
      </w:r>
      <w:r>
        <w:rPr>
          <w:rFonts w:asciiTheme="majorHAnsi" w:hAnsiTheme="majorHAnsi"/>
          <w:sz w:val="20"/>
          <w:szCs w:val="20"/>
        </w:rPr>
        <w:t xml:space="preserve"> goals.  Reaching these goals will require a profound shift in district culture, including in the Professional Development &amp; Support and Academics departments. </w:t>
      </w:r>
    </w:p>
    <w:p w:rsidR="00A72E26" w:rsidRPr="00A72E26" w:rsidRDefault="00A72E26" w:rsidP="00DC7CFF">
      <w:pPr>
        <w:pStyle w:val="BodyText"/>
        <w:kinsoku w:val="0"/>
        <w:overflowPunct w:val="0"/>
        <w:spacing w:line="276" w:lineRule="auto"/>
        <w:ind w:left="0" w:right="119"/>
        <w:rPr>
          <w:rFonts w:asciiTheme="majorHAnsi" w:hAnsiTheme="majorHAnsi"/>
          <w:sz w:val="20"/>
          <w:szCs w:val="20"/>
        </w:rPr>
      </w:pPr>
      <w:r>
        <w:rPr>
          <w:rFonts w:asciiTheme="majorHAnsi" w:hAnsiTheme="majorHAnsi"/>
          <w:sz w:val="20"/>
          <w:szCs w:val="20"/>
        </w:rPr>
        <w:br/>
      </w:r>
      <w:r w:rsidRPr="00A72E26">
        <w:rPr>
          <w:rFonts w:asciiTheme="majorHAnsi" w:hAnsiTheme="majorHAnsi"/>
          <w:color w:val="000000" w:themeColor="text1"/>
          <w:sz w:val="20"/>
          <w:szCs w:val="20"/>
        </w:rPr>
        <w:t>In Shelby County Schools, we believe that teachers have the most important job in the district, as our teachers are the primary drivers of our students’ achievement.  We believe that teachers can adapt their practice to increase student achievement when they experience high-quality professional learning, and it is our collective responsibility to ensure that teachers have the professional development experiences</w:t>
      </w:r>
      <w:r>
        <w:rPr>
          <w:rFonts w:asciiTheme="majorHAnsi" w:hAnsiTheme="majorHAnsi"/>
          <w:color w:val="000000" w:themeColor="text1"/>
          <w:sz w:val="20"/>
          <w:szCs w:val="20"/>
        </w:rPr>
        <w:t xml:space="preserve"> </w:t>
      </w:r>
      <w:r w:rsidRPr="00A72E26">
        <w:rPr>
          <w:rFonts w:asciiTheme="majorHAnsi" w:hAnsiTheme="majorHAnsi"/>
          <w:color w:val="000000" w:themeColor="text1"/>
          <w:sz w:val="20"/>
          <w:szCs w:val="20"/>
        </w:rPr>
        <w:t>that will enable them to adapt their practice to ensure that our students reach Destination 2025.</w:t>
      </w:r>
    </w:p>
    <w:p w:rsidR="00A72E26" w:rsidRDefault="00A72E26" w:rsidP="00DC7CFF">
      <w:pPr>
        <w:pStyle w:val="BodyText"/>
        <w:kinsoku w:val="0"/>
        <w:overflowPunct w:val="0"/>
        <w:spacing w:line="276" w:lineRule="auto"/>
        <w:ind w:left="0" w:right="119"/>
        <w:rPr>
          <w:rFonts w:asciiTheme="majorHAnsi" w:hAnsiTheme="majorHAnsi"/>
          <w:sz w:val="20"/>
          <w:szCs w:val="20"/>
        </w:rPr>
      </w:pPr>
    </w:p>
    <w:p w:rsidR="00DC7CFF" w:rsidRDefault="000E6BDA" w:rsidP="00E57413">
      <w:pPr>
        <w:pStyle w:val="BodyText"/>
        <w:kinsoku w:val="0"/>
        <w:overflowPunct w:val="0"/>
        <w:spacing w:line="276" w:lineRule="auto"/>
        <w:ind w:left="0" w:right="121"/>
        <w:rPr>
          <w:rFonts w:asciiTheme="majorHAnsi" w:hAnsiTheme="majorHAnsi"/>
          <w:sz w:val="20"/>
          <w:szCs w:val="20"/>
        </w:rPr>
      </w:pPr>
      <w:r>
        <w:rPr>
          <w:rFonts w:asciiTheme="majorHAnsi" w:hAnsiTheme="majorHAnsi"/>
          <w:spacing w:val="-2"/>
          <w:sz w:val="20"/>
          <w:szCs w:val="20"/>
        </w:rPr>
        <w:t>To improve professional development,</w:t>
      </w:r>
      <w:r w:rsidR="00A72E26">
        <w:rPr>
          <w:rFonts w:asciiTheme="majorHAnsi" w:hAnsiTheme="majorHAnsi"/>
          <w:spacing w:val="-2"/>
          <w:sz w:val="20"/>
          <w:szCs w:val="20"/>
        </w:rPr>
        <w:t xml:space="preserve"> which we define as any experience that teachers engage in to improve their instructional practice,</w:t>
      </w:r>
      <w:r>
        <w:rPr>
          <w:rFonts w:asciiTheme="majorHAnsi" w:hAnsiTheme="majorHAnsi"/>
          <w:spacing w:val="-2"/>
          <w:sz w:val="20"/>
          <w:szCs w:val="20"/>
        </w:rPr>
        <w:t xml:space="preserve"> SCS will establish five </w:t>
      </w:r>
      <w:r w:rsidR="00DC7CFF" w:rsidRPr="00DC7CFF">
        <w:rPr>
          <w:rFonts w:asciiTheme="majorHAnsi" w:hAnsiTheme="majorHAnsi"/>
          <w:spacing w:val="-2"/>
          <w:sz w:val="20"/>
          <w:szCs w:val="20"/>
        </w:rPr>
        <w:t>d</w:t>
      </w:r>
      <w:r w:rsidR="00DC7CFF" w:rsidRPr="00DC7CFF">
        <w:rPr>
          <w:rFonts w:asciiTheme="majorHAnsi" w:hAnsiTheme="majorHAnsi"/>
          <w:sz w:val="20"/>
          <w:szCs w:val="20"/>
        </w:rPr>
        <w:t>e</w:t>
      </w:r>
      <w:r w:rsidR="00DC7CFF" w:rsidRPr="00DC7CFF">
        <w:rPr>
          <w:rFonts w:asciiTheme="majorHAnsi" w:hAnsiTheme="majorHAnsi"/>
          <w:spacing w:val="2"/>
          <w:sz w:val="20"/>
          <w:szCs w:val="20"/>
        </w:rPr>
        <w:t>s</w:t>
      </w:r>
      <w:r w:rsidR="00DC7CFF" w:rsidRPr="00DC7CFF">
        <w:rPr>
          <w:rFonts w:asciiTheme="majorHAnsi" w:hAnsiTheme="majorHAnsi"/>
          <w:spacing w:val="-3"/>
          <w:sz w:val="20"/>
          <w:szCs w:val="20"/>
        </w:rPr>
        <w:t>i</w:t>
      </w:r>
      <w:r w:rsidR="00DC7CFF" w:rsidRPr="00DC7CFF">
        <w:rPr>
          <w:rFonts w:asciiTheme="majorHAnsi" w:hAnsiTheme="majorHAnsi"/>
          <w:spacing w:val="2"/>
          <w:sz w:val="20"/>
          <w:szCs w:val="20"/>
        </w:rPr>
        <w:t>g</w:t>
      </w:r>
      <w:r w:rsidR="00DC7CFF" w:rsidRPr="00DC7CFF">
        <w:rPr>
          <w:rFonts w:asciiTheme="majorHAnsi" w:hAnsiTheme="majorHAnsi"/>
          <w:sz w:val="20"/>
          <w:szCs w:val="20"/>
        </w:rPr>
        <w:t>n</w:t>
      </w:r>
      <w:r w:rsidR="00DC7CFF" w:rsidRPr="00DC7CFF">
        <w:rPr>
          <w:rFonts w:asciiTheme="majorHAnsi" w:hAnsiTheme="majorHAnsi"/>
          <w:spacing w:val="52"/>
          <w:sz w:val="20"/>
          <w:szCs w:val="20"/>
        </w:rPr>
        <w:t xml:space="preserve"> </w:t>
      </w:r>
      <w:r w:rsidR="00DC7CFF" w:rsidRPr="00DC7CFF">
        <w:rPr>
          <w:rFonts w:asciiTheme="majorHAnsi" w:hAnsiTheme="majorHAnsi"/>
          <w:spacing w:val="3"/>
          <w:sz w:val="20"/>
          <w:szCs w:val="20"/>
        </w:rPr>
        <w:t>p</w:t>
      </w:r>
      <w:r w:rsidR="00DC7CFF" w:rsidRPr="00DC7CFF">
        <w:rPr>
          <w:rFonts w:asciiTheme="majorHAnsi" w:hAnsiTheme="majorHAnsi"/>
          <w:spacing w:val="-2"/>
          <w:sz w:val="20"/>
          <w:szCs w:val="20"/>
        </w:rPr>
        <w:t>r</w:t>
      </w:r>
      <w:r w:rsidR="00DC7CFF" w:rsidRPr="00DC7CFF">
        <w:rPr>
          <w:rFonts w:asciiTheme="majorHAnsi" w:hAnsiTheme="majorHAnsi"/>
          <w:spacing w:val="-3"/>
          <w:sz w:val="20"/>
          <w:szCs w:val="20"/>
        </w:rPr>
        <w:t>i</w:t>
      </w:r>
      <w:r w:rsidR="00DC7CFF" w:rsidRPr="00DC7CFF">
        <w:rPr>
          <w:rFonts w:asciiTheme="majorHAnsi" w:hAnsiTheme="majorHAnsi"/>
          <w:spacing w:val="3"/>
          <w:sz w:val="20"/>
          <w:szCs w:val="20"/>
        </w:rPr>
        <w:t>n</w:t>
      </w:r>
      <w:r w:rsidR="00DC7CFF" w:rsidRPr="00DC7CFF">
        <w:rPr>
          <w:rFonts w:asciiTheme="majorHAnsi" w:hAnsiTheme="majorHAnsi"/>
          <w:spacing w:val="-1"/>
          <w:sz w:val="20"/>
          <w:szCs w:val="20"/>
        </w:rPr>
        <w:t>c</w:t>
      </w:r>
      <w:r w:rsidR="00DC7CFF" w:rsidRPr="00DC7CFF">
        <w:rPr>
          <w:rFonts w:asciiTheme="majorHAnsi" w:hAnsiTheme="majorHAnsi"/>
          <w:spacing w:val="-3"/>
          <w:sz w:val="20"/>
          <w:szCs w:val="20"/>
        </w:rPr>
        <w:t>i</w:t>
      </w:r>
      <w:r w:rsidR="00DC7CFF" w:rsidRPr="00DC7CFF">
        <w:rPr>
          <w:rFonts w:asciiTheme="majorHAnsi" w:hAnsiTheme="majorHAnsi"/>
          <w:spacing w:val="3"/>
          <w:sz w:val="20"/>
          <w:szCs w:val="20"/>
        </w:rPr>
        <w:t>p</w:t>
      </w:r>
      <w:r w:rsidR="00DC7CFF" w:rsidRPr="00DC7CFF">
        <w:rPr>
          <w:rFonts w:asciiTheme="majorHAnsi" w:hAnsiTheme="majorHAnsi"/>
          <w:spacing w:val="-3"/>
          <w:sz w:val="20"/>
          <w:szCs w:val="20"/>
        </w:rPr>
        <w:t>l</w:t>
      </w:r>
      <w:r w:rsidR="00DC7CFF" w:rsidRPr="00DC7CFF">
        <w:rPr>
          <w:rFonts w:asciiTheme="majorHAnsi" w:hAnsiTheme="majorHAnsi"/>
          <w:sz w:val="20"/>
          <w:szCs w:val="20"/>
        </w:rPr>
        <w:t>es</w:t>
      </w:r>
      <w:r>
        <w:rPr>
          <w:rFonts w:asciiTheme="majorHAnsi" w:hAnsiTheme="majorHAnsi"/>
          <w:sz w:val="20"/>
          <w:szCs w:val="20"/>
        </w:rPr>
        <w:t xml:space="preserve"> that all future professional development experiences will embody</w:t>
      </w:r>
      <w:r w:rsidR="00A72E26">
        <w:rPr>
          <w:rFonts w:asciiTheme="majorHAnsi" w:hAnsiTheme="majorHAnsi"/>
          <w:sz w:val="20"/>
          <w:szCs w:val="20"/>
        </w:rPr>
        <w:t>:</w:t>
      </w:r>
    </w:p>
    <w:p w:rsidR="00E57413" w:rsidRPr="00DC7CFF" w:rsidRDefault="00E57413" w:rsidP="00DC7CFF">
      <w:pPr>
        <w:widowControl w:val="0"/>
        <w:autoSpaceDE w:val="0"/>
        <w:autoSpaceDN w:val="0"/>
        <w:adjustRightInd w:val="0"/>
        <w:rPr>
          <w:rFonts w:asciiTheme="majorHAnsi" w:hAnsiTheme="majorHAnsi" w:cs="Calibri"/>
          <w:sz w:val="20"/>
          <w:szCs w:val="20"/>
        </w:rPr>
      </w:pPr>
      <w:r>
        <w:rPr>
          <w:rFonts w:asciiTheme="majorHAnsi" w:hAnsiTheme="majorHAnsi" w:cs="Calibri"/>
          <w:noProof/>
          <w:sz w:val="20"/>
          <w:szCs w:val="20"/>
        </w:rPr>
        <w:drawing>
          <wp:inline distT="0" distB="0" distL="0" distR="0" wp14:anchorId="57631908" wp14:editId="0FC436E1">
            <wp:extent cx="6838950" cy="9779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C7CFF" w:rsidRPr="00DC7CFF" w:rsidRDefault="00E57413" w:rsidP="00DC7CFF">
      <w:pPr>
        <w:pStyle w:val="ListParagraph"/>
        <w:widowControl w:val="0"/>
        <w:numPr>
          <w:ilvl w:val="0"/>
          <w:numId w:val="1"/>
        </w:numPr>
        <w:autoSpaceDE w:val="0"/>
        <w:autoSpaceDN w:val="0"/>
        <w:adjustRightInd w:val="0"/>
        <w:rPr>
          <w:rFonts w:asciiTheme="majorHAnsi" w:hAnsiTheme="majorHAnsi" w:cs="Calibri"/>
          <w:sz w:val="20"/>
          <w:szCs w:val="20"/>
        </w:rPr>
      </w:pPr>
      <w:r>
        <w:rPr>
          <w:rFonts w:asciiTheme="majorHAnsi" w:hAnsiTheme="majorHAnsi" w:cs="Helvetica"/>
          <w:b/>
          <w:bCs/>
          <w:sz w:val="20"/>
          <w:szCs w:val="20"/>
        </w:rPr>
        <w:t xml:space="preserve">ALIGNED:  </w:t>
      </w:r>
      <w:r w:rsidR="00DC7CFF">
        <w:rPr>
          <w:rFonts w:asciiTheme="majorHAnsi" w:hAnsiTheme="majorHAnsi" w:cs="Helvetica"/>
          <w:b/>
          <w:bCs/>
          <w:sz w:val="20"/>
          <w:szCs w:val="20"/>
        </w:rPr>
        <w:t>Professional development</w:t>
      </w:r>
      <w:r w:rsidR="00DC7CFF" w:rsidRPr="00DC7CFF">
        <w:rPr>
          <w:rFonts w:asciiTheme="majorHAnsi" w:hAnsiTheme="majorHAnsi" w:cs="Helvetica"/>
          <w:b/>
          <w:bCs/>
          <w:sz w:val="20"/>
          <w:szCs w:val="20"/>
        </w:rPr>
        <w:t xml:space="preserve"> </w:t>
      </w:r>
      <w:proofErr w:type="gramStart"/>
      <w:r w:rsidR="00DC7CFF" w:rsidRPr="00DC7CFF">
        <w:rPr>
          <w:rFonts w:asciiTheme="majorHAnsi" w:hAnsiTheme="majorHAnsi" w:cs="Helvetica"/>
          <w:b/>
          <w:bCs/>
          <w:sz w:val="20"/>
          <w:szCs w:val="20"/>
        </w:rPr>
        <w:t>must be aligned</w:t>
      </w:r>
      <w:proofErr w:type="gramEnd"/>
      <w:r w:rsidR="00DC7CFF">
        <w:rPr>
          <w:rFonts w:asciiTheme="majorHAnsi" w:hAnsiTheme="majorHAnsi" w:cs="Helvetica"/>
          <w:b/>
          <w:bCs/>
          <w:sz w:val="20"/>
          <w:szCs w:val="20"/>
        </w:rPr>
        <w:t xml:space="preserve"> to SCS’s goals, </w:t>
      </w:r>
      <w:r w:rsidR="00DC7CFF" w:rsidRPr="00DC7CFF">
        <w:rPr>
          <w:rFonts w:asciiTheme="majorHAnsi" w:hAnsiTheme="majorHAnsi" w:cs="Helvetica"/>
          <w:b/>
          <w:bCs/>
          <w:sz w:val="20"/>
          <w:szCs w:val="20"/>
        </w:rPr>
        <w:t>vision of effective teaching, academic priorities, and evaluation system</w:t>
      </w:r>
      <w:r w:rsidR="00DC7CFF">
        <w:rPr>
          <w:rFonts w:asciiTheme="majorHAnsi" w:hAnsiTheme="majorHAnsi" w:cs="Helvetica"/>
          <w:b/>
          <w:bCs/>
          <w:sz w:val="20"/>
          <w:szCs w:val="20"/>
        </w:rPr>
        <w:t>.</w:t>
      </w:r>
    </w:p>
    <w:p w:rsidR="00DC7CFF" w:rsidRPr="00DC7CFF" w:rsidRDefault="00DC7CFF" w:rsidP="00DC7CFF">
      <w:pPr>
        <w:pStyle w:val="ListParagraph"/>
        <w:widowControl w:val="0"/>
        <w:autoSpaceDE w:val="0"/>
        <w:autoSpaceDN w:val="0"/>
        <w:adjustRightInd w:val="0"/>
        <w:rPr>
          <w:rFonts w:asciiTheme="majorHAnsi" w:hAnsiTheme="majorHAnsi" w:cs="Calibri"/>
          <w:i/>
          <w:sz w:val="20"/>
          <w:szCs w:val="20"/>
        </w:rPr>
      </w:pPr>
      <w:r>
        <w:rPr>
          <w:rFonts w:asciiTheme="majorHAnsi" w:hAnsiTheme="majorHAnsi" w:cs="Calibri"/>
          <w:i/>
          <w:sz w:val="20"/>
          <w:szCs w:val="20"/>
        </w:rPr>
        <w:t xml:space="preserve">First and foremost, any </w:t>
      </w:r>
      <w:r w:rsidR="004D419C">
        <w:rPr>
          <w:rFonts w:asciiTheme="majorHAnsi" w:hAnsiTheme="majorHAnsi" w:cs="Calibri"/>
          <w:i/>
          <w:sz w:val="20"/>
          <w:szCs w:val="20"/>
        </w:rPr>
        <w:t>SCS</w:t>
      </w:r>
      <w:r>
        <w:rPr>
          <w:rFonts w:asciiTheme="majorHAnsi" w:hAnsiTheme="majorHAnsi" w:cs="Calibri"/>
          <w:i/>
          <w:sz w:val="20"/>
          <w:szCs w:val="20"/>
        </w:rPr>
        <w:t xml:space="preserve"> professional development must be directly tied to Destination 2025 and the key pillars of the district’s strategic plan.  In addition, PD must be</w:t>
      </w:r>
      <w:r w:rsidRPr="00DC7CFF">
        <w:rPr>
          <w:rFonts w:asciiTheme="majorHAnsi" w:hAnsiTheme="majorHAnsi" w:cs="Calibri"/>
          <w:i/>
          <w:sz w:val="20"/>
          <w:szCs w:val="20"/>
        </w:rPr>
        <w:t xml:space="preserve"> directly aligned to the district’s vision of effective teaching (captured in the TEM or elsewhere), academic priorities (such as literacy, writing, and early childhood education), and needs defined b</w:t>
      </w:r>
      <w:r w:rsidR="00B67546">
        <w:rPr>
          <w:rFonts w:asciiTheme="majorHAnsi" w:hAnsiTheme="majorHAnsi" w:cs="Calibri"/>
          <w:i/>
          <w:sz w:val="20"/>
          <w:szCs w:val="20"/>
        </w:rPr>
        <w:t>y teacher observations</w:t>
      </w:r>
      <w:r>
        <w:rPr>
          <w:rFonts w:asciiTheme="majorHAnsi" w:hAnsiTheme="majorHAnsi" w:cs="Calibri"/>
          <w:i/>
          <w:sz w:val="20"/>
          <w:szCs w:val="20"/>
        </w:rPr>
        <w:t xml:space="preserve"> (such as planning, </w:t>
      </w:r>
      <w:r w:rsidR="00B67546">
        <w:rPr>
          <w:rFonts w:asciiTheme="majorHAnsi" w:hAnsiTheme="majorHAnsi" w:cs="Calibri"/>
          <w:i/>
          <w:sz w:val="20"/>
          <w:szCs w:val="20"/>
        </w:rPr>
        <w:t xml:space="preserve">clear delivery of content, etc.).  </w:t>
      </w:r>
    </w:p>
    <w:p w:rsidR="00DC7CFF" w:rsidRPr="00DC7CFF" w:rsidRDefault="00DC7CFF" w:rsidP="00DC7CFF">
      <w:pPr>
        <w:pStyle w:val="ListParagraph"/>
        <w:widowControl w:val="0"/>
        <w:autoSpaceDE w:val="0"/>
        <w:autoSpaceDN w:val="0"/>
        <w:adjustRightInd w:val="0"/>
        <w:rPr>
          <w:rFonts w:asciiTheme="majorHAnsi" w:hAnsiTheme="majorHAnsi" w:cs="Calibri"/>
          <w:sz w:val="20"/>
          <w:szCs w:val="20"/>
        </w:rPr>
      </w:pPr>
    </w:p>
    <w:p w:rsidR="00DC7CFF" w:rsidRPr="00DC7CFF" w:rsidRDefault="00E57413" w:rsidP="00DC7CFF">
      <w:pPr>
        <w:pStyle w:val="ListParagraph"/>
        <w:widowControl w:val="0"/>
        <w:numPr>
          <w:ilvl w:val="0"/>
          <w:numId w:val="1"/>
        </w:numPr>
        <w:autoSpaceDE w:val="0"/>
        <w:autoSpaceDN w:val="0"/>
        <w:adjustRightInd w:val="0"/>
        <w:rPr>
          <w:rFonts w:asciiTheme="majorHAnsi" w:hAnsiTheme="majorHAnsi" w:cs="Helvetica"/>
          <w:b/>
          <w:bCs/>
          <w:sz w:val="20"/>
          <w:szCs w:val="20"/>
        </w:rPr>
      </w:pPr>
      <w:r>
        <w:rPr>
          <w:rFonts w:asciiTheme="majorHAnsi" w:hAnsiTheme="majorHAnsi" w:cs="Helvetica"/>
          <w:b/>
          <w:bCs/>
          <w:sz w:val="20"/>
          <w:szCs w:val="20"/>
        </w:rPr>
        <w:t xml:space="preserve">DIFFERENTIATED:  </w:t>
      </w:r>
      <w:r w:rsidR="00DC7CFF">
        <w:rPr>
          <w:rFonts w:asciiTheme="majorHAnsi" w:hAnsiTheme="majorHAnsi" w:cs="Helvetica"/>
          <w:b/>
          <w:bCs/>
          <w:sz w:val="20"/>
          <w:szCs w:val="20"/>
        </w:rPr>
        <w:t>Professional development must be tailored to individual and collective teacher needs and differentiated</w:t>
      </w:r>
      <w:r w:rsidR="00DC7CFF" w:rsidRPr="00DC7CFF">
        <w:rPr>
          <w:rFonts w:asciiTheme="majorHAnsi" w:hAnsiTheme="majorHAnsi" w:cs="Helvetica"/>
          <w:b/>
          <w:bCs/>
          <w:sz w:val="20"/>
          <w:szCs w:val="20"/>
        </w:rPr>
        <w:t xml:space="preserve"> by need, content, </w:t>
      </w:r>
      <w:r w:rsidR="00DC7CFF">
        <w:rPr>
          <w:rFonts w:asciiTheme="majorHAnsi" w:hAnsiTheme="majorHAnsi" w:cs="Helvetica"/>
          <w:b/>
          <w:bCs/>
          <w:sz w:val="20"/>
          <w:szCs w:val="20"/>
        </w:rPr>
        <w:t xml:space="preserve">and </w:t>
      </w:r>
      <w:r w:rsidR="00DC7CFF" w:rsidRPr="00DC7CFF">
        <w:rPr>
          <w:rFonts w:asciiTheme="majorHAnsi" w:hAnsiTheme="majorHAnsi" w:cs="Helvetica"/>
          <w:b/>
          <w:bCs/>
          <w:sz w:val="20"/>
          <w:szCs w:val="20"/>
        </w:rPr>
        <w:t>grade band</w:t>
      </w:r>
      <w:r w:rsidR="00DC7CFF">
        <w:rPr>
          <w:rFonts w:asciiTheme="majorHAnsi" w:hAnsiTheme="majorHAnsi" w:cs="Helvetica"/>
          <w:b/>
          <w:bCs/>
          <w:sz w:val="20"/>
          <w:szCs w:val="20"/>
        </w:rPr>
        <w:t xml:space="preserve">. </w:t>
      </w:r>
    </w:p>
    <w:p w:rsidR="00E57413" w:rsidRPr="00E57413" w:rsidRDefault="00E57413" w:rsidP="00E57413">
      <w:pPr>
        <w:widowControl w:val="0"/>
        <w:autoSpaceDE w:val="0"/>
        <w:autoSpaceDN w:val="0"/>
        <w:adjustRightInd w:val="0"/>
        <w:ind w:left="720"/>
        <w:rPr>
          <w:rFonts w:asciiTheme="majorHAnsi" w:hAnsiTheme="majorHAnsi" w:cs="Helvetica"/>
          <w:bCs/>
          <w:i/>
          <w:sz w:val="20"/>
          <w:szCs w:val="20"/>
        </w:rPr>
      </w:pPr>
      <w:r>
        <w:rPr>
          <w:rFonts w:asciiTheme="majorHAnsi" w:hAnsiTheme="majorHAnsi" w:cs="Helvetica"/>
          <w:bCs/>
          <w:i/>
          <w:sz w:val="20"/>
          <w:szCs w:val="20"/>
        </w:rPr>
        <w:t>PD must be</w:t>
      </w:r>
      <w:r w:rsidR="00DC7CFF" w:rsidRPr="00DC7CFF">
        <w:rPr>
          <w:rFonts w:asciiTheme="majorHAnsi" w:hAnsiTheme="majorHAnsi" w:cs="Helvetica"/>
          <w:bCs/>
          <w:i/>
          <w:sz w:val="20"/>
          <w:szCs w:val="20"/>
        </w:rPr>
        <w:t xml:space="preserve"> based on teacher needs (performance, experience, and areas of growth), as well as by their content area and grade-level.</w:t>
      </w:r>
      <w:r w:rsidR="00DC7CFF">
        <w:rPr>
          <w:rFonts w:asciiTheme="majorHAnsi" w:hAnsiTheme="majorHAnsi" w:cs="Helvetica"/>
          <w:bCs/>
          <w:i/>
          <w:sz w:val="20"/>
          <w:szCs w:val="20"/>
        </w:rPr>
        <w:t xml:space="preserve">  </w:t>
      </w:r>
      <w:r w:rsidR="004D419C">
        <w:rPr>
          <w:rFonts w:asciiTheme="majorHAnsi" w:hAnsiTheme="majorHAnsi" w:cs="Helvetica"/>
          <w:bCs/>
          <w:i/>
          <w:sz w:val="20"/>
          <w:szCs w:val="20"/>
        </w:rPr>
        <w:t xml:space="preserve"> SCS uses teacher and student performance data, both qualitative and quantitative, to determine what professional development to offer to meet differentiated needs.</w:t>
      </w:r>
    </w:p>
    <w:p w:rsidR="00E57413" w:rsidRPr="00E57413" w:rsidRDefault="00E57413" w:rsidP="00DC7CFF">
      <w:pPr>
        <w:pStyle w:val="ListParagraph"/>
        <w:widowControl w:val="0"/>
        <w:numPr>
          <w:ilvl w:val="0"/>
          <w:numId w:val="1"/>
        </w:numPr>
        <w:autoSpaceDE w:val="0"/>
        <w:autoSpaceDN w:val="0"/>
        <w:adjustRightInd w:val="0"/>
        <w:rPr>
          <w:rFonts w:asciiTheme="majorHAnsi" w:hAnsiTheme="majorHAnsi" w:cs="Calibri"/>
          <w:sz w:val="20"/>
          <w:szCs w:val="20"/>
        </w:rPr>
      </w:pPr>
      <w:r>
        <w:rPr>
          <w:rFonts w:asciiTheme="majorHAnsi" w:hAnsiTheme="majorHAnsi" w:cs="Calibri"/>
          <w:b/>
          <w:sz w:val="20"/>
          <w:szCs w:val="20"/>
        </w:rPr>
        <w:t xml:space="preserve">PRACTICE-BASED:  </w:t>
      </w:r>
      <w:r w:rsidR="000E6BDA">
        <w:rPr>
          <w:rFonts w:asciiTheme="majorHAnsi" w:hAnsiTheme="majorHAnsi" w:cs="Calibri"/>
          <w:b/>
          <w:sz w:val="20"/>
          <w:szCs w:val="20"/>
        </w:rPr>
        <w:t>Educators</w:t>
      </w:r>
      <w:r>
        <w:rPr>
          <w:rFonts w:asciiTheme="majorHAnsi" w:hAnsiTheme="majorHAnsi" w:cs="Calibri"/>
          <w:b/>
          <w:sz w:val="20"/>
          <w:szCs w:val="20"/>
        </w:rPr>
        <w:t xml:space="preserve"> learn best when they have the opportunity to apply what they have learned, so our professional development consistently involves opportunities for practice.</w:t>
      </w:r>
    </w:p>
    <w:p w:rsidR="00E57413" w:rsidRDefault="00E57413" w:rsidP="00E57413">
      <w:pPr>
        <w:pStyle w:val="ListParagraph"/>
        <w:widowControl w:val="0"/>
        <w:autoSpaceDE w:val="0"/>
        <w:autoSpaceDN w:val="0"/>
        <w:adjustRightInd w:val="0"/>
        <w:rPr>
          <w:rFonts w:asciiTheme="majorHAnsi" w:hAnsiTheme="majorHAnsi" w:cs="Calibri"/>
          <w:i/>
          <w:sz w:val="20"/>
          <w:szCs w:val="20"/>
        </w:rPr>
      </w:pPr>
      <w:r>
        <w:rPr>
          <w:rFonts w:asciiTheme="majorHAnsi" w:hAnsiTheme="majorHAnsi" w:cs="Calibri"/>
          <w:i/>
          <w:sz w:val="20"/>
          <w:szCs w:val="20"/>
        </w:rPr>
        <w:t xml:space="preserve">High-quality professional development involves practice so that teachers can </w:t>
      </w:r>
      <w:r w:rsidR="00A72E26">
        <w:rPr>
          <w:rFonts w:asciiTheme="majorHAnsi" w:hAnsiTheme="majorHAnsi" w:cs="Calibri"/>
          <w:i/>
          <w:sz w:val="20"/>
          <w:szCs w:val="20"/>
        </w:rPr>
        <w:t xml:space="preserve">immediately implement </w:t>
      </w:r>
      <w:r>
        <w:rPr>
          <w:rFonts w:asciiTheme="majorHAnsi" w:hAnsiTheme="majorHAnsi" w:cs="Calibri"/>
          <w:i/>
          <w:sz w:val="20"/>
          <w:szCs w:val="20"/>
        </w:rPr>
        <w:t>what they have learned in a session rather than “sitting and getting” information.</w:t>
      </w:r>
      <w:r w:rsidR="000E6BDA">
        <w:rPr>
          <w:rFonts w:asciiTheme="majorHAnsi" w:hAnsiTheme="majorHAnsi" w:cs="Calibri"/>
          <w:i/>
          <w:sz w:val="20"/>
          <w:szCs w:val="20"/>
        </w:rPr>
        <w:t xml:space="preserve">  Educators practice in sessions and then also </w:t>
      </w:r>
      <w:r w:rsidR="00A72E26">
        <w:rPr>
          <w:rFonts w:asciiTheme="majorHAnsi" w:hAnsiTheme="majorHAnsi" w:cs="Calibri"/>
          <w:i/>
          <w:sz w:val="20"/>
          <w:szCs w:val="20"/>
        </w:rPr>
        <w:t>commit to practicing</w:t>
      </w:r>
      <w:r w:rsidR="000E6BDA">
        <w:rPr>
          <w:rFonts w:asciiTheme="majorHAnsi" w:hAnsiTheme="majorHAnsi" w:cs="Calibri"/>
          <w:i/>
          <w:sz w:val="20"/>
          <w:szCs w:val="20"/>
        </w:rPr>
        <w:t xml:space="preserve"> newly learned skills in their classrooms.</w:t>
      </w:r>
    </w:p>
    <w:p w:rsidR="00E57413" w:rsidRPr="00E57413" w:rsidRDefault="00E57413" w:rsidP="00E57413">
      <w:pPr>
        <w:pStyle w:val="ListParagraph"/>
        <w:widowControl w:val="0"/>
        <w:autoSpaceDE w:val="0"/>
        <w:autoSpaceDN w:val="0"/>
        <w:adjustRightInd w:val="0"/>
        <w:rPr>
          <w:rFonts w:asciiTheme="majorHAnsi" w:hAnsiTheme="majorHAnsi" w:cs="Calibri"/>
          <w:i/>
          <w:sz w:val="20"/>
          <w:szCs w:val="20"/>
        </w:rPr>
      </w:pPr>
    </w:p>
    <w:p w:rsidR="00E57413" w:rsidRPr="00E57413" w:rsidRDefault="00E57413" w:rsidP="00DC7CFF">
      <w:pPr>
        <w:pStyle w:val="ListParagraph"/>
        <w:widowControl w:val="0"/>
        <w:numPr>
          <w:ilvl w:val="0"/>
          <w:numId w:val="1"/>
        </w:numPr>
        <w:autoSpaceDE w:val="0"/>
        <w:autoSpaceDN w:val="0"/>
        <w:adjustRightInd w:val="0"/>
        <w:rPr>
          <w:rFonts w:asciiTheme="majorHAnsi" w:hAnsiTheme="majorHAnsi" w:cs="Calibri"/>
          <w:sz w:val="20"/>
          <w:szCs w:val="20"/>
        </w:rPr>
      </w:pPr>
      <w:r>
        <w:rPr>
          <w:rFonts w:asciiTheme="majorHAnsi" w:hAnsiTheme="majorHAnsi" w:cs="Calibri"/>
          <w:b/>
          <w:sz w:val="20"/>
          <w:szCs w:val="20"/>
        </w:rPr>
        <w:t xml:space="preserve">EMPOWERING:  Teachers and principals must be able to choose supports that are most aligned to improvement of their practice.  </w:t>
      </w:r>
    </w:p>
    <w:p w:rsidR="00E57413" w:rsidRPr="00E57413" w:rsidRDefault="00E57413" w:rsidP="00E57413">
      <w:pPr>
        <w:pStyle w:val="ListParagraph"/>
        <w:rPr>
          <w:rFonts w:asciiTheme="majorHAnsi" w:hAnsiTheme="majorHAnsi"/>
          <w:i/>
          <w:sz w:val="20"/>
          <w:szCs w:val="20"/>
        </w:rPr>
      </w:pPr>
      <w:r w:rsidRPr="00E57413">
        <w:rPr>
          <w:rFonts w:asciiTheme="majorHAnsi" w:hAnsiTheme="majorHAnsi"/>
          <w:i/>
          <w:sz w:val="20"/>
          <w:szCs w:val="20"/>
        </w:rPr>
        <w:t xml:space="preserve">In alignment with the strategic plan, principals should have options to choose supports that are most needed for their </w:t>
      </w:r>
      <w:r w:rsidR="00A72E26">
        <w:rPr>
          <w:rFonts w:asciiTheme="majorHAnsi" w:hAnsiTheme="majorHAnsi"/>
          <w:i/>
          <w:sz w:val="20"/>
          <w:szCs w:val="20"/>
        </w:rPr>
        <w:t>teachers and students.  T</w:t>
      </w:r>
      <w:r w:rsidRPr="00E57413">
        <w:rPr>
          <w:rFonts w:asciiTheme="majorHAnsi" w:hAnsiTheme="majorHAnsi"/>
          <w:i/>
          <w:sz w:val="20"/>
          <w:szCs w:val="20"/>
        </w:rPr>
        <w:t>eac</w:t>
      </w:r>
      <w:r w:rsidR="00A72E26">
        <w:rPr>
          <w:rFonts w:asciiTheme="majorHAnsi" w:hAnsiTheme="majorHAnsi"/>
          <w:i/>
          <w:sz w:val="20"/>
          <w:szCs w:val="20"/>
        </w:rPr>
        <w:t>hers should have the ability to reflect on their own instructional strengths and opportunities for improvement, then select professional development experiences that will improve their students’ achievement.</w:t>
      </w:r>
    </w:p>
    <w:p w:rsidR="00E57413" w:rsidRPr="00E57413" w:rsidRDefault="00E57413" w:rsidP="00E57413">
      <w:pPr>
        <w:pStyle w:val="ListParagraph"/>
        <w:widowControl w:val="0"/>
        <w:autoSpaceDE w:val="0"/>
        <w:autoSpaceDN w:val="0"/>
        <w:adjustRightInd w:val="0"/>
        <w:rPr>
          <w:rFonts w:asciiTheme="majorHAnsi" w:hAnsiTheme="majorHAnsi" w:cs="Calibri"/>
          <w:sz w:val="20"/>
          <w:szCs w:val="20"/>
        </w:rPr>
      </w:pPr>
    </w:p>
    <w:p w:rsidR="00DC7CFF" w:rsidRPr="00DC7CFF" w:rsidRDefault="000E6BDA" w:rsidP="00DC7CFF">
      <w:pPr>
        <w:pStyle w:val="ListParagraph"/>
        <w:widowControl w:val="0"/>
        <w:numPr>
          <w:ilvl w:val="0"/>
          <w:numId w:val="1"/>
        </w:numPr>
        <w:autoSpaceDE w:val="0"/>
        <w:autoSpaceDN w:val="0"/>
        <w:adjustRightInd w:val="0"/>
        <w:rPr>
          <w:rFonts w:asciiTheme="majorHAnsi" w:hAnsiTheme="majorHAnsi" w:cs="Calibri"/>
          <w:sz w:val="20"/>
          <w:szCs w:val="20"/>
        </w:rPr>
      </w:pPr>
      <w:r>
        <w:rPr>
          <w:rFonts w:asciiTheme="majorHAnsi" w:hAnsiTheme="majorHAnsi" w:cs="Helvetica"/>
          <w:b/>
          <w:bCs/>
          <w:sz w:val="20"/>
          <w:szCs w:val="20"/>
        </w:rPr>
        <w:t>MEASUREABLE</w:t>
      </w:r>
      <w:r w:rsidR="00E57413">
        <w:rPr>
          <w:rFonts w:asciiTheme="majorHAnsi" w:hAnsiTheme="majorHAnsi" w:cs="Helvetica"/>
          <w:b/>
          <w:bCs/>
          <w:sz w:val="20"/>
          <w:szCs w:val="20"/>
        </w:rPr>
        <w:t xml:space="preserve">:  </w:t>
      </w:r>
      <w:r w:rsidR="00DC7CFF">
        <w:rPr>
          <w:rFonts w:asciiTheme="majorHAnsi" w:hAnsiTheme="majorHAnsi" w:cs="Helvetica"/>
          <w:b/>
          <w:bCs/>
          <w:sz w:val="20"/>
          <w:szCs w:val="20"/>
        </w:rPr>
        <w:t>Professional development’s impact must be</w:t>
      </w:r>
      <w:r>
        <w:rPr>
          <w:rFonts w:asciiTheme="majorHAnsi" w:hAnsiTheme="majorHAnsi" w:cs="Helvetica"/>
          <w:b/>
          <w:bCs/>
          <w:sz w:val="20"/>
          <w:szCs w:val="20"/>
        </w:rPr>
        <w:t xml:space="preserve"> measured and</w:t>
      </w:r>
      <w:r w:rsidR="00DC7CFF">
        <w:rPr>
          <w:rFonts w:asciiTheme="majorHAnsi" w:hAnsiTheme="majorHAnsi" w:cs="Helvetica"/>
          <w:b/>
          <w:bCs/>
          <w:sz w:val="20"/>
          <w:szCs w:val="20"/>
        </w:rPr>
        <w:t xml:space="preserve"> evaluated strategically.</w:t>
      </w:r>
    </w:p>
    <w:p w:rsidR="00FA0A22" w:rsidRPr="00957F90" w:rsidRDefault="00DC7CFF" w:rsidP="00957F90">
      <w:pPr>
        <w:widowControl w:val="0"/>
        <w:autoSpaceDE w:val="0"/>
        <w:autoSpaceDN w:val="0"/>
        <w:adjustRightInd w:val="0"/>
        <w:ind w:left="720"/>
        <w:rPr>
          <w:rFonts w:asciiTheme="majorHAnsi" w:hAnsiTheme="majorHAnsi" w:cs="Calibri"/>
          <w:i/>
          <w:sz w:val="20"/>
          <w:szCs w:val="20"/>
        </w:rPr>
      </w:pPr>
      <w:r>
        <w:rPr>
          <w:rFonts w:asciiTheme="majorHAnsi" w:hAnsiTheme="majorHAnsi" w:cs="Helvetica"/>
          <w:i/>
          <w:sz w:val="20"/>
          <w:szCs w:val="20"/>
        </w:rPr>
        <w:t>Professional development is intended to improve teacher performance and student achievement</w:t>
      </w:r>
      <w:r w:rsidR="00A72E26">
        <w:rPr>
          <w:rFonts w:asciiTheme="majorHAnsi" w:hAnsiTheme="majorHAnsi" w:cs="Helvetica"/>
          <w:i/>
          <w:sz w:val="20"/>
          <w:szCs w:val="20"/>
        </w:rPr>
        <w:t>, so we must name the change we expect to see in teacher and student performance as a result of professional development experiences</w:t>
      </w:r>
      <w:r>
        <w:rPr>
          <w:rFonts w:asciiTheme="majorHAnsi" w:hAnsiTheme="majorHAnsi" w:cs="Helvetica"/>
          <w:i/>
          <w:sz w:val="20"/>
          <w:szCs w:val="20"/>
        </w:rPr>
        <w:t xml:space="preserve">.  Given the time and resources </w:t>
      </w:r>
      <w:r w:rsidR="00E57413">
        <w:rPr>
          <w:rFonts w:asciiTheme="majorHAnsi" w:hAnsiTheme="majorHAnsi" w:cs="Helvetica"/>
          <w:i/>
          <w:sz w:val="20"/>
          <w:szCs w:val="20"/>
        </w:rPr>
        <w:t xml:space="preserve">professional development consumes, we must measure the effectiveness of PD so that we can determine where to spend more time and resources, given the outcomes that we see.  </w:t>
      </w:r>
      <w:r w:rsidRPr="00DC7CFF">
        <w:rPr>
          <w:rFonts w:asciiTheme="majorHAnsi" w:hAnsiTheme="majorHAnsi" w:cs="Helvetica"/>
          <w:i/>
          <w:sz w:val="20"/>
          <w:szCs w:val="20"/>
        </w:rPr>
        <w:t xml:space="preserve">We will track engagement in PD </w:t>
      </w:r>
      <w:r w:rsidR="00A72E26">
        <w:rPr>
          <w:rFonts w:asciiTheme="majorHAnsi" w:hAnsiTheme="majorHAnsi" w:cs="Helvetica"/>
          <w:i/>
          <w:sz w:val="20"/>
          <w:szCs w:val="20"/>
        </w:rPr>
        <w:t xml:space="preserve">mapped to </w:t>
      </w:r>
      <w:r w:rsidRPr="00DC7CFF">
        <w:rPr>
          <w:rFonts w:asciiTheme="majorHAnsi" w:hAnsiTheme="majorHAnsi" w:cs="Helvetica"/>
          <w:i/>
          <w:sz w:val="20"/>
          <w:szCs w:val="20"/>
        </w:rPr>
        <w:t>student achievement and teacher improvement so that we can ensure that we are spending resources on strategies that actually improve teacher performance and ultimately, student achievement.</w:t>
      </w:r>
    </w:p>
    <w:sectPr w:rsidR="00FA0A22" w:rsidRPr="00957F90" w:rsidSect="00E57413">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F5" w:rsidRDefault="006F70F5" w:rsidP="00DC7CFF">
      <w:pPr>
        <w:spacing w:after="0" w:line="240" w:lineRule="auto"/>
      </w:pPr>
      <w:r>
        <w:separator/>
      </w:r>
    </w:p>
  </w:endnote>
  <w:endnote w:type="continuationSeparator" w:id="0">
    <w:p w:rsidR="006F70F5" w:rsidRDefault="006F70F5" w:rsidP="00DC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F5" w:rsidRDefault="006F70F5" w:rsidP="00DC7CFF">
      <w:pPr>
        <w:spacing w:after="0" w:line="240" w:lineRule="auto"/>
      </w:pPr>
      <w:r>
        <w:separator/>
      </w:r>
    </w:p>
  </w:footnote>
  <w:footnote w:type="continuationSeparator" w:id="0">
    <w:p w:rsidR="006F70F5" w:rsidRDefault="006F70F5" w:rsidP="00DC7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46" w:rsidRDefault="00B67546">
    <w:pPr>
      <w:pStyle w:val="Header"/>
    </w:pPr>
    <w:r>
      <w:rPr>
        <w:noProof/>
      </w:rPr>
      <w:drawing>
        <wp:inline distT="0" distB="0" distL="0" distR="0" wp14:anchorId="715647D0" wp14:editId="160DF9FD">
          <wp:extent cx="61595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 Logo.jpg"/>
                  <pic:cNvPicPr/>
                </pic:nvPicPr>
                <pic:blipFill>
                  <a:blip r:embed="rId1">
                    <a:extLst>
                      <a:ext uri="{28A0092B-C50C-407E-A947-70E740481C1C}">
                        <a14:useLocalDpi xmlns:a14="http://schemas.microsoft.com/office/drawing/2010/main" val="0"/>
                      </a:ext>
                    </a:extLst>
                  </a:blip>
                  <a:stretch>
                    <a:fillRect/>
                  </a:stretch>
                </pic:blipFill>
                <pic:spPr>
                  <a:xfrm>
                    <a:off x="0" y="0"/>
                    <a:ext cx="615950" cy="615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7E3"/>
    <w:multiLevelType w:val="hybridMultilevel"/>
    <w:tmpl w:val="816CAC58"/>
    <w:lvl w:ilvl="0" w:tplc="4F721B0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FF"/>
    <w:rsid w:val="000E6BDA"/>
    <w:rsid w:val="00104424"/>
    <w:rsid w:val="001C3765"/>
    <w:rsid w:val="00262300"/>
    <w:rsid w:val="002A54B5"/>
    <w:rsid w:val="004D419C"/>
    <w:rsid w:val="005531C1"/>
    <w:rsid w:val="00651565"/>
    <w:rsid w:val="00672C15"/>
    <w:rsid w:val="006F70F5"/>
    <w:rsid w:val="00751854"/>
    <w:rsid w:val="00810F4D"/>
    <w:rsid w:val="008F6939"/>
    <w:rsid w:val="00957F90"/>
    <w:rsid w:val="00964B7A"/>
    <w:rsid w:val="00A567CD"/>
    <w:rsid w:val="00A72E26"/>
    <w:rsid w:val="00AF019B"/>
    <w:rsid w:val="00B2726E"/>
    <w:rsid w:val="00B67546"/>
    <w:rsid w:val="00C7597E"/>
    <w:rsid w:val="00D0137E"/>
    <w:rsid w:val="00DC7CFF"/>
    <w:rsid w:val="00E57413"/>
    <w:rsid w:val="00FA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FF"/>
  </w:style>
  <w:style w:type="paragraph" w:styleId="Heading2">
    <w:name w:val="heading 2"/>
    <w:basedOn w:val="Normal"/>
    <w:next w:val="Normal"/>
    <w:link w:val="Heading2Char"/>
    <w:uiPriority w:val="1"/>
    <w:qFormat/>
    <w:rsid w:val="00DC7CFF"/>
    <w:pPr>
      <w:widowControl w:val="0"/>
      <w:autoSpaceDE w:val="0"/>
      <w:autoSpaceDN w:val="0"/>
      <w:adjustRightInd w:val="0"/>
      <w:spacing w:after="0" w:line="240" w:lineRule="auto"/>
      <w:ind w:left="1180"/>
      <w:outlineLvl w:val="1"/>
    </w:pPr>
    <w:rPr>
      <w:rFonts w:ascii="Calibri" w:eastAsiaTheme="minorEastAsia"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FF"/>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DC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CFF"/>
  </w:style>
  <w:style w:type="paragraph" w:styleId="Footer">
    <w:name w:val="footer"/>
    <w:basedOn w:val="Normal"/>
    <w:link w:val="FooterChar"/>
    <w:uiPriority w:val="99"/>
    <w:unhideWhenUsed/>
    <w:rsid w:val="00DC7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FF"/>
  </w:style>
  <w:style w:type="character" w:customStyle="1" w:styleId="Heading2Char">
    <w:name w:val="Heading 2 Char"/>
    <w:basedOn w:val="DefaultParagraphFont"/>
    <w:link w:val="Heading2"/>
    <w:uiPriority w:val="1"/>
    <w:rsid w:val="00DC7CFF"/>
    <w:rPr>
      <w:rFonts w:ascii="Calibri" w:eastAsiaTheme="minorEastAsia" w:hAnsi="Calibri" w:cs="Calibri"/>
      <w:b/>
      <w:bCs/>
      <w:sz w:val="28"/>
      <w:szCs w:val="28"/>
    </w:rPr>
  </w:style>
  <w:style w:type="paragraph" w:styleId="BodyText">
    <w:name w:val="Body Text"/>
    <w:basedOn w:val="Normal"/>
    <w:link w:val="BodyTextChar"/>
    <w:uiPriority w:val="1"/>
    <w:qFormat/>
    <w:rsid w:val="00DC7CFF"/>
    <w:pPr>
      <w:widowControl w:val="0"/>
      <w:autoSpaceDE w:val="0"/>
      <w:autoSpaceDN w:val="0"/>
      <w:adjustRightInd w:val="0"/>
      <w:spacing w:after="0" w:line="240" w:lineRule="auto"/>
      <w:ind w:left="118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DC7CFF"/>
    <w:rPr>
      <w:rFonts w:ascii="Calibri" w:eastAsiaTheme="minorEastAsia" w:hAnsi="Calibri" w:cs="Calibri"/>
      <w:sz w:val="24"/>
      <w:szCs w:val="24"/>
    </w:rPr>
  </w:style>
  <w:style w:type="character" w:styleId="CommentReference">
    <w:name w:val="annotation reference"/>
    <w:basedOn w:val="DefaultParagraphFont"/>
    <w:uiPriority w:val="99"/>
    <w:semiHidden/>
    <w:unhideWhenUsed/>
    <w:rsid w:val="008F6939"/>
    <w:rPr>
      <w:sz w:val="16"/>
      <w:szCs w:val="16"/>
    </w:rPr>
  </w:style>
  <w:style w:type="paragraph" w:styleId="CommentText">
    <w:name w:val="annotation text"/>
    <w:basedOn w:val="Normal"/>
    <w:link w:val="CommentTextChar"/>
    <w:uiPriority w:val="99"/>
    <w:semiHidden/>
    <w:unhideWhenUsed/>
    <w:rsid w:val="008F6939"/>
    <w:pPr>
      <w:spacing w:line="240" w:lineRule="auto"/>
    </w:pPr>
    <w:rPr>
      <w:sz w:val="20"/>
      <w:szCs w:val="20"/>
    </w:rPr>
  </w:style>
  <w:style w:type="character" w:customStyle="1" w:styleId="CommentTextChar">
    <w:name w:val="Comment Text Char"/>
    <w:basedOn w:val="DefaultParagraphFont"/>
    <w:link w:val="CommentText"/>
    <w:uiPriority w:val="99"/>
    <w:semiHidden/>
    <w:rsid w:val="008F6939"/>
    <w:rPr>
      <w:sz w:val="20"/>
      <w:szCs w:val="20"/>
    </w:rPr>
  </w:style>
  <w:style w:type="paragraph" w:styleId="CommentSubject">
    <w:name w:val="annotation subject"/>
    <w:basedOn w:val="CommentText"/>
    <w:next w:val="CommentText"/>
    <w:link w:val="CommentSubjectChar"/>
    <w:uiPriority w:val="99"/>
    <w:semiHidden/>
    <w:unhideWhenUsed/>
    <w:rsid w:val="008F6939"/>
    <w:rPr>
      <w:b/>
      <w:bCs/>
    </w:rPr>
  </w:style>
  <w:style w:type="character" w:customStyle="1" w:styleId="CommentSubjectChar">
    <w:name w:val="Comment Subject Char"/>
    <w:basedOn w:val="CommentTextChar"/>
    <w:link w:val="CommentSubject"/>
    <w:uiPriority w:val="99"/>
    <w:semiHidden/>
    <w:rsid w:val="008F6939"/>
    <w:rPr>
      <w:b/>
      <w:bCs/>
      <w:sz w:val="20"/>
      <w:szCs w:val="20"/>
    </w:rPr>
  </w:style>
  <w:style w:type="paragraph" w:styleId="BalloonText">
    <w:name w:val="Balloon Text"/>
    <w:basedOn w:val="Normal"/>
    <w:link w:val="BalloonTextChar"/>
    <w:uiPriority w:val="99"/>
    <w:semiHidden/>
    <w:unhideWhenUsed/>
    <w:rsid w:val="008F6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39"/>
    <w:rPr>
      <w:rFonts w:ascii="Segoe UI" w:hAnsi="Segoe UI" w:cs="Segoe UI"/>
      <w:sz w:val="18"/>
      <w:szCs w:val="18"/>
    </w:rPr>
  </w:style>
  <w:style w:type="paragraph" w:styleId="Revision">
    <w:name w:val="Revision"/>
    <w:hidden/>
    <w:uiPriority w:val="99"/>
    <w:semiHidden/>
    <w:rsid w:val="001044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FF"/>
  </w:style>
  <w:style w:type="paragraph" w:styleId="Heading2">
    <w:name w:val="heading 2"/>
    <w:basedOn w:val="Normal"/>
    <w:next w:val="Normal"/>
    <w:link w:val="Heading2Char"/>
    <w:uiPriority w:val="1"/>
    <w:qFormat/>
    <w:rsid w:val="00DC7CFF"/>
    <w:pPr>
      <w:widowControl w:val="0"/>
      <w:autoSpaceDE w:val="0"/>
      <w:autoSpaceDN w:val="0"/>
      <w:adjustRightInd w:val="0"/>
      <w:spacing w:after="0" w:line="240" w:lineRule="auto"/>
      <w:ind w:left="1180"/>
      <w:outlineLvl w:val="1"/>
    </w:pPr>
    <w:rPr>
      <w:rFonts w:ascii="Calibri" w:eastAsiaTheme="minorEastAsia"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FF"/>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DC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CFF"/>
  </w:style>
  <w:style w:type="paragraph" w:styleId="Footer">
    <w:name w:val="footer"/>
    <w:basedOn w:val="Normal"/>
    <w:link w:val="FooterChar"/>
    <w:uiPriority w:val="99"/>
    <w:unhideWhenUsed/>
    <w:rsid w:val="00DC7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FF"/>
  </w:style>
  <w:style w:type="character" w:customStyle="1" w:styleId="Heading2Char">
    <w:name w:val="Heading 2 Char"/>
    <w:basedOn w:val="DefaultParagraphFont"/>
    <w:link w:val="Heading2"/>
    <w:uiPriority w:val="1"/>
    <w:rsid w:val="00DC7CFF"/>
    <w:rPr>
      <w:rFonts w:ascii="Calibri" w:eastAsiaTheme="minorEastAsia" w:hAnsi="Calibri" w:cs="Calibri"/>
      <w:b/>
      <w:bCs/>
      <w:sz w:val="28"/>
      <w:szCs w:val="28"/>
    </w:rPr>
  </w:style>
  <w:style w:type="paragraph" w:styleId="BodyText">
    <w:name w:val="Body Text"/>
    <w:basedOn w:val="Normal"/>
    <w:link w:val="BodyTextChar"/>
    <w:uiPriority w:val="1"/>
    <w:qFormat/>
    <w:rsid w:val="00DC7CFF"/>
    <w:pPr>
      <w:widowControl w:val="0"/>
      <w:autoSpaceDE w:val="0"/>
      <w:autoSpaceDN w:val="0"/>
      <w:adjustRightInd w:val="0"/>
      <w:spacing w:after="0" w:line="240" w:lineRule="auto"/>
      <w:ind w:left="118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DC7CFF"/>
    <w:rPr>
      <w:rFonts w:ascii="Calibri" w:eastAsiaTheme="minorEastAsia" w:hAnsi="Calibri" w:cs="Calibri"/>
      <w:sz w:val="24"/>
      <w:szCs w:val="24"/>
    </w:rPr>
  </w:style>
  <w:style w:type="character" w:styleId="CommentReference">
    <w:name w:val="annotation reference"/>
    <w:basedOn w:val="DefaultParagraphFont"/>
    <w:uiPriority w:val="99"/>
    <w:semiHidden/>
    <w:unhideWhenUsed/>
    <w:rsid w:val="008F6939"/>
    <w:rPr>
      <w:sz w:val="16"/>
      <w:szCs w:val="16"/>
    </w:rPr>
  </w:style>
  <w:style w:type="paragraph" w:styleId="CommentText">
    <w:name w:val="annotation text"/>
    <w:basedOn w:val="Normal"/>
    <w:link w:val="CommentTextChar"/>
    <w:uiPriority w:val="99"/>
    <w:semiHidden/>
    <w:unhideWhenUsed/>
    <w:rsid w:val="008F6939"/>
    <w:pPr>
      <w:spacing w:line="240" w:lineRule="auto"/>
    </w:pPr>
    <w:rPr>
      <w:sz w:val="20"/>
      <w:szCs w:val="20"/>
    </w:rPr>
  </w:style>
  <w:style w:type="character" w:customStyle="1" w:styleId="CommentTextChar">
    <w:name w:val="Comment Text Char"/>
    <w:basedOn w:val="DefaultParagraphFont"/>
    <w:link w:val="CommentText"/>
    <w:uiPriority w:val="99"/>
    <w:semiHidden/>
    <w:rsid w:val="008F6939"/>
    <w:rPr>
      <w:sz w:val="20"/>
      <w:szCs w:val="20"/>
    </w:rPr>
  </w:style>
  <w:style w:type="paragraph" w:styleId="CommentSubject">
    <w:name w:val="annotation subject"/>
    <w:basedOn w:val="CommentText"/>
    <w:next w:val="CommentText"/>
    <w:link w:val="CommentSubjectChar"/>
    <w:uiPriority w:val="99"/>
    <w:semiHidden/>
    <w:unhideWhenUsed/>
    <w:rsid w:val="008F6939"/>
    <w:rPr>
      <w:b/>
      <w:bCs/>
    </w:rPr>
  </w:style>
  <w:style w:type="character" w:customStyle="1" w:styleId="CommentSubjectChar">
    <w:name w:val="Comment Subject Char"/>
    <w:basedOn w:val="CommentTextChar"/>
    <w:link w:val="CommentSubject"/>
    <w:uiPriority w:val="99"/>
    <w:semiHidden/>
    <w:rsid w:val="008F6939"/>
    <w:rPr>
      <w:b/>
      <w:bCs/>
      <w:sz w:val="20"/>
      <w:szCs w:val="20"/>
    </w:rPr>
  </w:style>
  <w:style w:type="paragraph" w:styleId="BalloonText">
    <w:name w:val="Balloon Text"/>
    <w:basedOn w:val="Normal"/>
    <w:link w:val="BalloonTextChar"/>
    <w:uiPriority w:val="99"/>
    <w:semiHidden/>
    <w:unhideWhenUsed/>
    <w:rsid w:val="008F6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39"/>
    <w:rPr>
      <w:rFonts w:ascii="Segoe UI" w:hAnsi="Segoe UI" w:cs="Segoe UI"/>
      <w:sz w:val="18"/>
      <w:szCs w:val="18"/>
    </w:rPr>
  </w:style>
  <w:style w:type="paragraph" w:styleId="Revision">
    <w:name w:val="Revision"/>
    <w:hidden/>
    <w:uiPriority w:val="99"/>
    <w:semiHidden/>
    <w:rsid w:val="001044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5EE74A-7ED8-4FA9-86F6-C58B47F6E5BE}" type="doc">
      <dgm:prSet loTypeId="urn:microsoft.com/office/officeart/2005/8/layout/default" loCatId="list" qsTypeId="urn:microsoft.com/office/officeart/2005/8/quickstyle/simple1" qsCatId="simple" csTypeId="urn:microsoft.com/office/officeart/2005/8/colors/accent1_4" csCatId="accent1" phldr="1"/>
      <dgm:spPr/>
      <dgm:t>
        <a:bodyPr/>
        <a:lstStyle/>
        <a:p>
          <a:endParaRPr lang="en-US"/>
        </a:p>
      </dgm:t>
    </dgm:pt>
    <dgm:pt modelId="{64C47CBA-2318-4FF5-B846-7F491DDFCC06}">
      <dgm:prSet phldrT="[Text]"/>
      <dgm:spPr/>
      <dgm:t>
        <a:bodyPr/>
        <a:lstStyle/>
        <a:p>
          <a:r>
            <a:rPr lang="en-US"/>
            <a:t>Aligned</a:t>
          </a:r>
        </a:p>
      </dgm:t>
    </dgm:pt>
    <dgm:pt modelId="{1545A0AA-0756-4402-AA26-46B7EA8B3865}" type="parTrans" cxnId="{D68ED7E9-A186-499A-AAF5-72E5102FD220}">
      <dgm:prSet/>
      <dgm:spPr/>
      <dgm:t>
        <a:bodyPr/>
        <a:lstStyle/>
        <a:p>
          <a:endParaRPr lang="en-US"/>
        </a:p>
      </dgm:t>
    </dgm:pt>
    <dgm:pt modelId="{AFE36DD6-AD4B-4A8B-908F-4B83776FC7A7}" type="sibTrans" cxnId="{D68ED7E9-A186-499A-AAF5-72E5102FD220}">
      <dgm:prSet/>
      <dgm:spPr/>
      <dgm:t>
        <a:bodyPr/>
        <a:lstStyle/>
        <a:p>
          <a:endParaRPr lang="en-US"/>
        </a:p>
      </dgm:t>
    </dgm:pt>
    <dgm:pt modelId="{9D912EC2-D053-4EE8-9F2C-1F1557690053}">
      <dgm:prSet phldrT="[Text]"/>
      <dgm:spPr/>
      <dgm:t>
        <a:bodyPr/>
        <a:lstStyle/>
        <a:p>
          <a:r>
            <a:rPr lang="en-US"/>
            <a:t>Differentiated</a:t>
          </a:r>
        </a:p>
      </dgm:t>
    </dgm:pt>
    <dgm:pt modelId="{20EA4816-A33D-46DB-ABC8-C894590B4128}" type="parTrans" cxnId="{D7FC5C42-297B-498B-AE63-BE0821817F56}">
      <dgm:prSet/>
      <dgm:spPr/>
      <dgm:t>
        <a:bodyPr/>
        <a:lstStyle/>
        <a:p>
          <a:endParaRPr lang="en-US"/>
        </a:p>
      </dgm:t>
    </dgm:pt>
    <dgm:pt modelId="{426A1AC9-A80A-4846-8138-850CC9676BCF}" type="sibTrans" cxnId="{D7FC5C42-297B-498B-AE63-BE0821817F56}">
      <dgm:prSet/>
      <dgm:spPr/>
      <dgm:t>
        <a:bodyPr/>
        <a:lstStyle/>
        <a:p>
          <a:endParaRPr lang="en-US"/>
        </a:p>
      </dgm:t>
    </dgm:pt>
    <dgm:pt modelId="{A5A453C5-3FAC-4E09-8FA0-04FCF9DAE94E}">
      <dgm:prSet phldrT="[Text]"/>
      <dgm:spPr/>
      <dgm:t>
        <a:bodyPr/>
        <a:lstStyle/>
        <a:p>
          <a:r>
            <a:rPr lang="en-US"/>
            <a:t>Practice-based</a:t>
          </a:r>
        </a:p>
      </dgm:t>
    </dgm:pt>
    <dgm:pt modelId="{CA4295EB-8EC8-4115-BA72-46A337D8CC7E}" type="parTrans" cxnId="{2AEC661C-A35C-4764-8CB5-F14AE830219C}">
      <dgm:prSet/>
      <dgm:spPr/>
      <dgm:t>
        <a:bodyPr/>
        <a:lstStyle/>
        <a:p>
          <a:endParaRPr lang="en-US"/>
        </a:p>
      </dgm:t>
    </dgm:pt>
    <dgm:pt modelId="{A569FC4C-5760-4F6F-AABC-1DF649F42568}" type="sibTrans" cxnId="{2AEC661C-A35C-4764-8CB5-F14AE830219C}">
      <dgm:prSet/>
      <dgm:spPr/>
      <dgm:t>
        <a:bodyPr/>
        <a:lstStyle/>
        <a:p>
          <a:endParaRPr lang="en-US"/>
        </a:p>
      </dgm:t>
    </dgm:pt>
    <dgm:pt modelId="{827E8C6B-6F75-4AA6-8E3D-2E185FD68408}">
      <dgm:prSet phldrT="[Text]"/>
      <dgm:spPr/>
      <dgm:t>
        <a:bodyPr/>
        <a:lstStyle/>
        <a:p>
          <a:r>
            <a:rPr lang="en-US"/>
            <a:t>Empowering</a:t>
          </a:r>
        </a:p>
      </dgm:t>
    </dgm:pt>
    <dgm:pt modelId="{DB312FA9-DB91-45BE-AEFD-1FD26DB97FE2}" type="parTrans" cxnId="{897345AA-C255-461C-AB09-D33D2964D63F}">
      <dgm:prSet/>
      <dgm:spPr/>
      <dgm:t>
        <a:bodyPr/>
        <a:lstStyle/>
        <a:p>
          <a:endParaRPr lang="en-US"/>
        </a:p>
      </dgm:t>
    </dgm:pt>
    <dgm:pt modelId="{29061F74-E6CA-40AB-AF06-6D4172F6BBC5}" type="sibTrans" cxnId="{897345AA-C255-461C-AB09-D33D2964D63F}">
      <dgm:prSet/>
      <dgm:spPr/>
      <dgm:t>
        <a:bodyPr/>
        <a:lstStyle/>
        <a:p>
          <a:endParaRPr lang="en-US"/>
        </a:p>
      </dgm:t>
    </dgm:pt>
    <dgm:pt modelId="{EFB0862A-7378-447E-AA61-2D8D3D93B314}">
      <dgm:prSet phldrT="[Text]"/>
      <dgm:spPr/>
      <dgm:t>
        <a:bodyPr/>
        <a:lstStyle/>
        <a:p>
          <a:r>
            <a:rPr lang="en-US"/>
            <a:t>Measureable</a:t>
          </a:r>
        </a:p>
      </dgm:t>
    </dgm:pt>
    <dgm:pt modelId="{0887A47A-3827-4670-9E12-0E2537CFD931}" type="parTrans" cxnId="{B696EA74-713A-43F1-8AC7-E920CB618A91}">
      <dgm:prSet/>
      <dgm:spPr/>
      <dgm:t>
        <a:bodyPr/>
        <a:lstStyle/>
        <a:p>
          <a:endParaRPr lang="en-US"/>
        </a:p>
      </dgm:t>
    </dgm:pt>
    <dgm:pt modelId="{0CB0FBDF-64FD-4CB0-BC56-47CF231D0CD3}" type="sibTrans" cxnId="{B696EA74-713A-43F1-8AC7-E920CB618A91}">
      <dgm:prSet/>
      <dgm:spPr/>
      <dgm:t>
        <a:bodyPr/>
        <a:lstStyle/>
        <a:p>
          <a:endParaRPr lang="en-US"/>
        </a:p>
      </dgm:t>
    </dgm:pt>
    <dgm:pt modelId="{07B29AEB-23A2-4E68-8323-C4AA13277AE6}" type="pres">
      <dgm:prSet presAssocID="{C05EE74A-7ED8-4FA9-86F6-C58B47F6E5BE}" presName="diagram" presStyleCnt="0">
        <dgm:presLayoutVars>
          <dgm:dir/>
          <dgm:resizeHandles val="exact"/>
        </dgm:presLayoutVars>
      </dgm:prSet>
      <dgm:spPr/>
      <dgm:t>
        <a:bodyPr/>
        <a:lstStyle/>
        <a:p>
          <a:endParaRPr lang="en-US"/>
        </a:p>
      </dgm:t>
    </dgm:pt>
    <dgm:pt modelId="{722B7466-C210-4B9F-840E-18F24E6F0807}" type="pres">
      <dgm:prSet presAssocID="{64C47CBA-2318-4FF5-B846-7F491DDFCC06}" presName="node" presStyleLbl="node1" presStyleIdx="0" presStyleCnt="5">
        <dgm:presLayoutVars>
          <dgm:bulletEnabled val="1"/>
        </dgm:presLayoutVars>
      </dgm:prSet>
      <dgm:spPr/>
      <dgm:t>
        <a:bodyPr/>
        <a:lstStyle/>
        <a:p>
          <a:endParaRPr lang="en-US"/>
        </a:p>
      </dgm:t>
    </dgm:pt>
    <dgm:pt modelId="{CCC75425-ECA8-4D1C-9446-8C51676B35A3}" type="pres">
      <dgm:prSet presAssocID="{AFE36DD6-AD4B-4A8B-908F-4B83776FC7A7}" presName="sibTrans" presStyleCnt="0"/>
      <dgm:spPr/>
    </dgm:pt>
    <dgm:pt modelId="{7FACA5BE-519E-4E8E-9E9B-9F25703BD7B9}" type="pres">
      <dgm:prSet presAssocID="{9D912EC2-D053-4EE8-9F2C-1F1557690053}" presName="node" presStyleLbl="node1" presStyleIdx="1" presStyleCnt="5">
        <dgm:presLayoutVars>
          <dgm:bulletEnabled val="1"/>
        </dgm:presLayoutVars>
      </dgm:prSet>
      <dgm:spPr/>
      <dgm:t>
        <a:bodyPr/>
        <a:lstStyle/>
        <a:p>
          <a:endParaRPr lang="en-US"/>
        </a:p>
      </dgm:t>
    </dgm:pt>
    <dgm:pt modelId="{AFF69A7A-255E-49BB-80D2-6CB20FF2AB6F}" type="pres">
      <dgm:prSet presAssocID="{426A1AC9-A80A-4846-8138-850CC9676BCF}" presName="sibTrans" presStyleCnt="0"/>
      <dgm:spPr/>
    </dgm:pt>
    <dgm:pt modelId="{F351FAC3-2726-4E0F-B499-A01FC3CDE799}" type="pres">
      <dgm:prSet presAssocID="{A5A453C5-3FAC-4E09-8FA0-04FCF9DAE94E}" presName="node" presStyleLbl="node1" presStyleIdx="2" presStyleCnt="5">
        <dgm:presLayoutVars>
          <dgm:bulletEnabled val="1"/>
        </dgm:presLayoutVars>
      </dgm:prSet>
      <dgm:spPr/>
      <dgm:t>
        <a:bodyPr/>
        <a:lstStyle/>
        <a:p>
          <a:endParaRPr lang="en-US"/>
        </a:p>
      </dgm:t>
    </dgm:pt>
    <dgm:pt modelId="{60887E8A-5E3F-4D92-8A10-89E61C54A04B}" type="pres">
      <dgm:prSet presAssocID="{A569FC4C-5760-4F6F-AABC-1DF649F42568}" presName="sibTrans" presStyleCnt="0"/>
      <dgm:spPr/>
    </dgm:pt>
    <dgm:pt modelId="{290CEDC2-86FC-4552-BA76-686A5D6E9799}" type="pres">
      <dgm:prSet presAssocID="{827E8C6B-6F75-4AA6-8E3D-2E185FD68408}" presName="node" presStyleLbl="node1" presStyleIdx="3" presStyleCnt="5">
        <dgm:presLayoutVars>
          <dgm:bulletEnabled val="1"/>
        </dgm:presLayoutVars>
      </dgm:prSet>
      <dgm:spPr/>
      <dgm:t>
        <a:bodyPr/>
        <a:lstStyle/>
        <a:p>
          <a:endParaRPr lang="en-US"/>
        </a:p>
      </dgm:t>
    </dgm:pt>
    <dgm:pt modelId="{C1A1E112-C578-47DD-B767-B76925B5C13A}" type="pres">
      <dgm:prSet presAssocID="{29061F74-E6CA-40AB-AF06-6D4172F6BBC5}" presName="sibTrans" presStyleCnt="0"/>
      <dgm:spPr/>
    </dgm:pt>
    <dgm:pt modelId="{EBB29024-B5B0-4380-B707-8898CEAED2F3}" type="pres">
      <dgm:prSet presAssocID="{EFB0862A-7378-447E-AA61-2D8D3D93B314}" presName="node" presStyleLbl="node1" presStyleIdx="4" presStyleCnt="5">
        <dgm:presLayoutVars>
          <dgm:bulletEnabled val="1"/>
        </dgm:presLayoutVars>
      </dgm:prSet>
      <dgm:spPr/>
      <dgm:t>
        <a:bodyPr/>
        <a:lstStyle/>
        <a:p>
          <a:endParaRPr lang="en-US"/>
        </a:p>
      </dgm:t>
    </dgm:pt>
  </dgm:ptLst>
  <dgm:cxnLst>
    <dgm:cxn modelId="{2AEC661C-A35C-4764-8CB5-F14AE830219C}" srcId="{C05EE74A-7ED8-4FA9-86F6-C58B47F6E5BE}" destId="{A5A453C5-3FAC-4E09-8FA0-04FCF9DAE94E}" srcOrd="2" destOrd="0" parTransId="{CA4295EB-8EC8-4115-BA72-46A337D8CC7E}" sibTransId="{A569FC4C-5760-4F6F-AABC-1DF649F42568}"/>
    <dgm:cxn modelId="{7D46F537-6364-4966-9DEB-7466A8FA9D48}" type="presOf" srcId="{C05EE74A-7ED8-4FA9-86F6-C58B47F6E5BE}" destId="{07B29AEB-23A2-4E68-8323-C4AA13277AE6}" srcOrd="0" destOrd="0" presId="urn:microsoft.com/office/officeart/2005/8/layout/default"/>
    <dgm:cxn modelId="{6B55C36B-9796-418C-ABAC-742DAC724BDD}" type="presOf" srcId="{64C47CBA-2318-4FF5-B846-7F491DDFCC06}" destId="{722B7466-C210-4B9F-840E-18F24E6F0807}" srcOrd="0" destOrd="0" presId="urn:microsoft.com/office/officeart/2005/8/layout/default"/>
    <dgm:cxn modelId="{509D75DD-AE67-417E-87D4-B1BCDBEE45E6}" type="presOf" srcId="{827E8C6B-6F75-4AA6-8E3D-2E185FD68408}" destId="{290CEDC2-86FC-4552-BA76-686A5D6E9799}" srcOrd="0" destOrd="0" presId="urn:microsoft.com/office/officeart/2005/8/layout/default"/>
    <dgm:cxn modelId="{8C670969-D0FE-4179-94CE-5EBDAE75FF65}" type="presOf" srcId="{A5A453C5-3FAC-4E09-8FA0-04FCF9DAE94E}" destId="{F351FAC3-2726-4E0F-B499-A01FC3CDE799}" srcOrd="0" destOrd="0" presId="urn:microsoft.com/office/officeart/2005/8/layout/default"/>
    <dgm:cxn modelId="{D0569203-AB27-4D2D-B8EF-B185C357861B}" type="presOf" srcId="{9D912EC2-D053-4EE8-9F2C-1F1557690053}" destId="{7FACA5BE-519E-4E8E-9E9B-9F25703BD7B9}" srcOrd="0" destOrd="0" presId="urn:microsoft.com/office/officeart/2005/8/layout/default"/>
    <dgm:cxn modelId="{D7FC5C42-297B-498B-AE63-BE0821817F56}" srcId="{C05EE74A-7ED8-4FA9-86F6-C58B47F6E5BE}" destId="{9D912EC2-D053-4EE8-9F2C-1F1557690053}" srcOrd="1" destOrd="0" parTransId="{20EA4816-A33D-46DB-ABC8-C894590B4128}" sibTransId="{426A1AC9-A80A-4846-8138-850CC9676BCF}"/>
    <dgm:cxn modelId="{D68ED7E9-A186-499A-AAF5-72E5102FD220}" srcId="{C05EE74A-7ED8-4FA9-86F6-C58B47F6E5BE}" destId="{64C47CBA-2318-4FF5-B846-7F491DDFCC06}" srcOrd="0" destOrd="0" parTransId="{1545A0AA-0756-4402-AA26-46B7EA8B3865}" sibTransId="{AFE36DD6-AD4B-4A8B-908F-4B83776FC7A7}"/>
    <dgm:cxn modelId="{47D2B14A-9ECF-4111-8BE9-C50EBC50420E}" type="presOf" srcId="{EFB0862A-7378-447E-AA61-2D8D3D93B314}" destId="{EBB29024-B5B0-4380-B707-8898CEAED2F3}" srcOrd="0" destOrd="0" presId="urn:microsoft.com/office/officeart/2005/8/layout/default"/>
    <dgm:cxn modelId="{B696EA74-713A-43F1-8AC7-E920CB618A91}" srcId="{C05EE74A-7ED8-4FA9-86F6-C58B47F6E5BE}" destId="{EFB0862A-7378-447E-AA61-2D8D3D93B314}" srcOrd="4" destOrd="0" parTransId="{0887A47A-3827-4670-9E12-0E2537CFD931}" sibTransId="{0CB0FBDF-64FD-4CB0-BC56-47CF231D0CD3}"/>
    <dgm:cxn modelId="{897345AA-C255-461C-AB09-D33D2964D63F}" srcId="{C05EE74A-7ED8-4FA9-86F6-C58B47F6E5BE}" destId="{827E8C6B-6F75-4AA6-8E3D-2E185FD68408}" srcOrd="3" destOrd="0" parTransId="{DB312FA9-DB91-45BE-AEFD-1FD26DB97FE2}" sibTransId="{29061F74-E6CA-40AB-AF06-6D4172F6BBC5}"/>
    <dgm:cxn modelId="{C1BBF332-DA8A-4AEB-B27F-4010BBE21F78}" type="presParOf" srcId="{07B29AEB-23A2-4E68-8323-C4AA13277AE6}" destId="{722B7466-C210-4B9F-840E-18F24E6F0807}" srcOrd="0" destOrd="0" presId="urn:microsoft.com/office/officeart/2005/8/layout/default"/>
    <dgm:cxn modelId="{A4DCC42B-5FA2-423D-A67B-24B612A17BD7}" type="presParOf" srcId="{07B29AEB-23A2-4E68-8323-C4AA13277AE6}" destId="{CCC75425-ECA8-4D1C-9446-8C51676B35A3}" srcOrd="1" destOrd="0" presId="urn:microsoft.com/office/officeart/2005/8/layout/default"/>
    <dgm:cxn modelId="{8BBD80B5-0777-4427-9533-43DA88DAF6E8}" type="presParOf" srcId="{07B29AEB-23A2-4E68-8323-C4AA13277AE6}" destId="{7FACA5BE-519E-4E8E-9E9B-9F25703BD7B9}" srcOrd="2" destOrd="0" presId="urn:microsoft.com/office/officeart/2005/8/layout/default"/>
    <dgm:cxn modelId="{5E88790D-2ED5-4BB8-A5A2-6D94334FE3C8}" type="presParOf" srcId="{07B29AEB-23A2-4E68-8323-C4AA13277AE6}" destId="{AFF69A7A-255E-49BB-80D2-6CB20FF2AB6F}" srcOrd="3" destOrd="0" presId="urn:microsoft.com/office/officeart/2005/8/layout/default"/>
    <dgm:cxn modelId="{78ADE8BB-D301-4E58-ACAB-A50519655A96}" type="presParOf" srcId="{07B29AEB-23A2-4E68-8323-C4AA13277AE6}" destId="{F351FAC3-2726-4E0F-B499-A01FC3CDE799}" srcOrd="4" destOrd="0" presId="urn:microsoft.com/office/officeart/2005/8/layout/default"/>
    <dgm:cxn modelId="{BB5885F2-C433-4A39-AEB7-11AAA32A9288}" type="presParOf" srcId="{07B29AEB-23A2-4E68-8323-C4AA13277AE6}" destId="{60887E8A-5E3F-4D92-8A10-89E61C54A04B}" srcOrd="5" destOrd="0" presId="urn:microsoft.com/office/officeart/2005/8/layout/default"/>
    <dgm:cxn modelId="{D5A1AFBD-FA06-4A13-AFAD-C812F30BCFFC}" type="presParOf" srcId="{07B29AEB-23A2-4E68-8323-C4AA13277AE6}" destId="{290CEDC2-86FC-4552-BA76-686A5D6E9799}" srcOrd="6" destOrd="0" presId="urn:microsoft.com/office/officeart/2005/8/layout/default"/>
    <dgm:cxn modelId="{AF5A33ED-44A3-44BB-9810-CAC69E7B586D}" type="presParOf" srcId="{07B29AEB-23A2-4E68-8323-C4AA13277AE6}" destId="{C1A1E112-C578-47DD-B767-B76925B5C13A}" srcOrd="7" destOrd="0" presId="urn:microsoft.com/office/officeart/2005/8/layout/default"/>
    <dgm:cxn modelId="{71D9F563-B407-466C-B686-132E1E35573C}" type="presParOf" srcId="{07B29AEB-23A2-4E68-8323-C4AA13277AE6}" destId="{EBB29024-B5B0-4380-B707-8898CEAED2F3}"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2B7466-C210-4B9F-840E-18F24E6F0807}">
      <dsp:nvSpPr>
        <dsp:cNvPr id="0" name=""/>
        <dsp:cNvSpPr/>
      </dsp:nvSpPr>
      <dsp:spPr>
        <a:xfrm>
          <a:off x="2337" y="109268"/>
          <a:ext cx="1265606" cy="759363"/>
        </a:xfrm>
        <a:prstGeom prst="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Aligned</a:t>
          </a:r>
        </a:p>
      </dsp:txBody>
      <dsp:txXfrm>
        <a:off x="2337" y="109268"/>
        <a:ext cx="1265606" cy="759363"/>
      </dsp:txXfrm>
    </dsp:sp>
    <dsp:sp modelId="{7FACA5BE-519E-4E8E-9E9B-9F25703BD7B9}">
      <dsp:nvSpPr>
        <dsp:cNvPr id="0" name=""/>
        <dsp:cNvSpPr/>
      </dsp:nvSpPr>
      <dsp:spPr>
        <a:xfrm>
          <a:off x="1394504" y="109268"/>
          <a:ext cx="1265606" cy="759363"/>
        </a:xfrm>
        <a:prstGeom prst="rect">
          <a:avLst/>
        </a:prstGeom>
        <a:solidFill>
          <a:schemeClr val="accent1">
            <a:shade val="50000"/>
            <a:hueOff val="133703"/>
            <a:satOff val="3582"/>
            <a:lumOff val="157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Differentiated</a:t>
          </a:r>
        </a:p>
      </dsp:txBody>
      <dsp:txXfrm>
        <a:off x="1394504" y="109268"/>
        <a:ext cx="1265606" cy="759363"/>
      </dsp:txXfrm>
    </dsp:sp>
    <dsp:sp modelId="{F351FAC3-2726-4E0F-B499-A01FC3CDE799}">
      <dsp:nvSpPr>
        <dsp:cNvPr id="0" name=""/>
        <dsp:cNvSpPr/>
      </dsp:nvSpPr>
      <dsp:spPr>
        <a:xfrm>
          <a:off x="2786671" y="109268"/>
          <a:ext cx="1265606" cy="759363"/>
        </a:xfrm>
        <a:prstGeom prst="rect">
          <a:avLst/>
        </a:prstGeom>
        <a:solidFill>
          <a:schemeClr val="accent1">
            <a:shade val="50000"/>
            <a:hueOff val="267407"/>
            <a:satOff val="7164"/>
            <a:lumOff val="315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Practice-based</a:t>
          </a:r>
        </a:p>
      </dsp:txBody>
      <dsp:txXfrm>
        <a:off x="2786671" y="109268"/>
        <a:ext cx="1265606" cy="759363"/>
      </dsp:txXfrm>
    </dsp:sp>
    <dsp:sp modelId="{290CEDC2-86FC-4552-BA76-686A5D6E9799}">
      <dsp:nvSpPr>
        <dsp:cNvPr id="0" name=""/>
        <dsp:cNvSpPr/>
      </dsp:nvSpPr>
      <dsp:spPr>
        <a:xfrm>
          <a:off x="4178838" y="109268"/>
          <a:ext cx="1265606" cy="759363"/>
        </a:xfrm>
        <a:prstGeom prst="rect">
          <a:avLst/>
        </a:prstGeom>
        <a:solidFill>
          <a:schemeClr val="accent1">
            <a:shade val="50000"/>
            <a:hueOff val="267407"/>
            <a:satOff val="7164"/>
            <a:lumOff val="315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Empowering</a:t>
          </a:r>
        </a:p>
      </dsp:txBody>
      <dsp:txXfrm>
        <a:off x="4178838" y="109268"/>
        <a:ext cx="1265606" cy="759363"/>
      </dsp:txXfrm>
    </dsp:sp>
    <dsp:sp modelId="{EBB29024-B5B0-4380-B707-8898CEAED2F3}">
      <dsp:nvSpPr>
        <dsp:cNvPr id="0" name=""/>
        <dsp:cNvSpPr/>
      </dsp:nvSpPr>
      <dsp:spPr>
        <a:xfrm>
          <a:off x="5571005" y="109268"/>
          <a:ext cx="1265606" cy="759363"/>
        </a:xfrm>
        <a:prstGeom prst="rect">
          <a:avLst/>
        </a:prstGeom>
        <a:solidFill>
          <a:schemeClr val="accent1">
            <a:shade val="50000"/>
            <a:hueOff val="133703"/>
            <a:satOff val="3582"/>
            <a:lumOff val="157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Measureable</a:t>
          </a:r>
        </a:p>
      </dsp:txBody>
      <dsp:txXfrm>
        <a:off x="5571005" y="109268"/>
        <a:ext cx="1265606" cy="7593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Cato</dc:creator>
  <cp:lastModifiedBy>Administrator</cp:lastModifiedBy>
  <cp:revision>2</cp:revision>
  <dcterms:created xsi:type="dcterms:W3CDTF">2015-03-24T14:14:00Z</dcterms:created>
  <dcterms:modified xsi:type="dcterms:W3CDTF">2015-03-24T14:14:00Z</dcterms:modified>
</cp:coreProperties>
</file>